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E17" w:rsidRDefault="00087E17" w:rsidP="00087E17">
      <w:pPr>
        <w:pStyle w:val="Titolo1"/>
        <w:spacing w:before="0" w:beforeAutospacing="0" w:after="120" w:afterAutospacing="0"/>
        <w:jc w:val="both"/>
        <w:textAlignment w:val="baseline"/>
        <w:rPr>
          <w:b w:val="0"/>
          <w:color w:val="000000"/>
          <w:sz w:val="28"/>
          <w:szCs w:val="28"/>
        </w:rPr>
      </w:pPr>
      <w:r w:rsidRPr="00722BC4">
        <w:rPr>
          <w:b w:val="0"/>
          <w:color w:val="000000"/>
          <w:sz w:val="28"/>
          <w:szCs w:val="28"/>
        </w:rPr>
        <w:t xml:space="preserve">Gianni Santucci è </w:t>
      </w:r>
      <w:r w:rsidR="000C0DD2">
        <w:rPr>
          <w:b w:val="0"/>
          <w:color w:val="000000"/>
          <w:sz w:val="28"/>
          <w:szCs w:val="28"/>
        </w:rPr>
        <w:t>attualmente professore ordinario presso l’Università di Bologna. D</w:t>
      </w:r>
      <w:r w:rsidRPr="00722BC4">
        <w:rPr>
          <w:b w:val="0"/>
          <w:color w:val="000000"/>
          <w:sz w:val="28"/>
          <w:szCs w:val="28"/>
        </w:rPr>
        <w:t xml:space="preserve">al 2005 </w:t>
      </w:r>
      <w:r w:rsidR="000C0DD2">
        <w:rPr>
          <w:b w:val="0"/>
          <w:color w:val="000000"/>
          <w:sz w:val="28"/>
          <w:szCs w:val="28"/>
        </w:rPr>
        <w:t xml:space="preserve">al 2022 </w:t>
      </w:r>
      <w:r w:rsidRPr="00722BC4">
        <w:rPr>
          <w:b w:val="0"/>
          <w:color w:val="000000"/>
          <w:sz w:val="28"/>
          <w:szCs w:val="28"/>
        </w:rPr>
        <w:t>professore ordinario nell'Università di Trento, dove</w:t>
      </w:r>
      <w:r w:rsidRPr="00722BC4">
        <w:rPr>
          <w:b w:val="0"/>
          <w:color w:val="000000"/>
          <w:sz w:val="28"/>
          <w:szCs w:val="28"/>
          <w:shd w:val="clear" w:color="auto" w:fill="F7FCD3"/>
        </w:rPr>
        <w:t xml:space="preserve"> </w:t>
      </w:r>
      <w:r w:rsidR="000C0DD2">
        <w:rPr>
          <w:b w:val="0"/>
          <w:color w:val="000000"/>
          <w:sz w:val="28"/>
          <w:szCs w:val="28"/>
        </w:rPr>
        <w:t xml:space="preserve">ha </w:t>
      </w:r>
      <w:proofErr w:type="gramStart"/>
      <w:r w:rsidR="000C0DD2">
        <w:rPr>
          <w:b w:val="0"/>
          <w:color w:val="000000"/>
          <w:sz w:val="28"/>
          <w:szCs w:val="28"/>
        </w:rPr>
        <w:t xml:space="preserve">insegnato </w:t>
      </w:r>
      <w:r w:rsidRPr="00722BC4">
        <w:rPr>
          <w:b w:val="0"/>
          <w:color w:val="000000"/>
          <w:sz w:val="28"/>
          <w:szCs w:val="28"/>
        </w:rPr>
        <w:t xml:space="preserve"> Istituzioni</w:t>
      </w:r>
      <w:proofErr w:type="gramEnd"/>
      <w:r w:rsidRPr="00722BC4">
        <w:rPr>
          <w:b w:val="0"/>
          <w:color w:val="000000"/>
          <w:sz w:val="28"/>
          <w:szCs w:val="28"/>
        </w:rPr>
        <w:t xml:space="preserve"> di diritto romano, Diritto romano e fondamenti</w:t>
      </w:r>
      <w:r w:rsidRPr="00722BC4">
        <w:rPr>
          <w:b w:val="0"/>
          <w:color w:val="000000"/>
          <w:sz w:val="28"/>
          <w:szCs w:val="28"/>
          <w:shd w:val="clear" w:color="auto" w:fill="F7FCD3"/>
        </w:rPr>
        <w:t xml:space="preserve"> </w:t>
      </w:r>
      <w:r w:rsidRPr="00722BC4">
        <w:rPr>
          <w:b w:val="0"/>
          <w:color w:val="000000"/>
          <w:sz w:val="28"/>
          <w:szCs w:val="28"/>
        </w:rPr>
        <w:t>del diritto europeo, dopo aver insegnato anche Esegesi delle fonti del diritto</w:t>
      </w:r>
      <w:r w:rsidRPr="00722BC4">
        <w:rPr>
          <w:b w:val="0"/>
          <w:color w:val="000000"/>
          <w:sz w:val="28"/>
          <w:szCs w:val="28"/>
          <w:shd w:val="clear" w:color="auto" w:fill="F7FCD3"/>
        </w:rPr>
        <w:t xml:space="preserve"> </w:t>
      </w:r>
      <w:r w:rsidRPr="00722BC4">
        <w:rPr>
          <w:b w:val="0"/>
          <w:color w:val="000000"/>
          <w:sz w:val="28"/>
          <w:szCs w:val="28"/>
        </w:rPr>
        <w:t>romano, Metodolog</w:t>
      </w:r>
      <w:r>
        <w:rPr>
          <w:b w:val="0"/>
          <w:color w:val="000000"/>
          <w:sz w:val="28"/>
          <w:szCs w:val="28"/>
        </w:rPr>
        <w:t xml:space="preserve">ia della giurisprudenza romana, Fondamenti del diritto europeo e </w:t>
      </w:r>
      <w:r w:rsidRPr="00722BC4">
        <w:rPr>
          <w:b w:val="0"/>
          <w:color w:val="000000"/>
          <w:sz w:val="28"/>
          <w:szCs w:val="28"/>
        </w:rPr>
        <w:t>Storia del diritto romano.</w:t>
      </w:r>
      <w:r>
        <w:rPr>
          <w:b w:val="0"/>
          <w:color w:val="000000"/>
          <w:sz w:val="28"/>
          <w:szCs w:val="28"/>
        </w:rPr>
        <w:t xml:space="preserve"> Ricercatore dal 1992 al 2001, professore associato dal 2001 al 2005.</w:t>
      </w:r>
    </w:p>
    <w:p w:rsidR="00087E17" w:rsidRDefault="00087E17" w:rsidP="00087E17">
      <w:pPr>
        <w:pStyle w:val="Titolo1"/>
        <w:spacing w:before="0" w:beforeAutospacing="0" w:after="120" w:afterAutospacing="0"/>
        <w:jc w:val="both"/>
        <w:textAlignment w:val="baseline"/>
        <w:rPr>
          <w:b w:val="0"/>
          <w:color w:val="000000"/>
          <w:sz w:val="28"/>
          <w:szCs w:val="28"/>
        </w:rPr>
      </w:pPr>
      <w:r w:rsidRPr="00722BC4">
        <w:rPr>
          <w:b w:val="0"/>
          <w:color w:val="000000"/>
          <w:sz w:val="28"/>
          <w:szCs w:val="28"/>
        </w:rPr>
        <w:t>Nel ruolo di ricercatore</w:t>
      </w:r>
      <w:r>
        <w:rPr>
          <w:b w:val="0"/>
          <w:color w:val="000000"/>
          <w:sz w:val="28"/>
          <w:szCs w:val="28"/>
        </w:rPr>
        <w:t xml:space="preserve"> confermato </w:t>
      </w:r>
    </w:p>
    <w:p w:rsidR="00087E17" w:rsidRDefault="00087E17" w:rsidP="00087E17">
      <w:pPr>
        <w:pStyle w:val="Titolo1"/>
        <w:spacing w:before="0" w:beforeAutospacing="0" w:after="120" w:afterAutospacing="0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. è stato rappresentante dei ricercatori nel Consiglio di Facoltà (1995-2000)</w:t>
      </w:r>
    </w:p>
    <w:p w:rsidR="00087E17" w:rsidRDefault="00087E17" w:rsidP="00087E17">
      <w:pPr>
        <w:pStyle w:val="Titolo1"/>
        <w:spacing w:before="0" w:beforeAutospacing="0" w:after="120" w:afterAutospacing="0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. ha partecipato al Consiglio della P</w:t>
      </w:r>
      <w:r w:rsidRPr="00722BC4">
        <w:rPr>
          <w:b w:val="0"/>
          <w:color w:val="000000"/>
          <w:sz w:val="28"/>
          <w:szCs w:val="28"/>
        </w:rPr>
        <w:t xml:space="preserve">residenza </w:t>
      </w:r>
      <w:r>
        <w:rPr>
          <w:b w:val="0"/>
          <w:color w:val="000000"/>
          <w:sz w:val="28"/>
          <w:szCs w:val="28"/>
        </w:rPr>
        <w:t xml:space="preserve">di Facoltà </w:t>
      </w:r>
      <w:r w:rsidRPr="00722BC4">
        <w:rPr>
          <w:b w:val="0"/>
          <w:color w:val="000000"/>
          <w:sz w:val="28"/>
          <w:szCs w:val="28"/>
        </w:rPr>
        <w:t>(1996-1999)</w:t>
      </w:r>
      <w:r>
        <w:rPr>
          <w:b w:val="0"/>
          <w:color w:val="000000"/>
          <w:sz w:val="28"/>
          <w:szCs w:val="28"/>
        </w:rPr>
        <w:t xml:space="preserve"> </w:t>
      </w:r>
    </w:p>
    <w:p w:rsidR="00087E17" w:rsidRDefault="00087E17" w:rsidP="00087E17">
      <w:pPr>
        <w:pStyle w:val="Titolo1"/>
        <w:spacing w:before="0" w:beforeAutospacing="0" w:after="120" w:afterAutospacing="0"/>
        <w:jc w:val="both"/>
        <w:textAlignment w:val="baseline"/>
        <w:rPr>
          <w:b w:val="0"/>
          <w:color w:val="000000"/>
          <w:sz w:val="28"/>
          <w:szCs w:val="28"/>
        </w:rPr>
      </w:pPr>
      <w:r w:rsidRPr="00722BC4">
        <w:rPr>
          <w:b w:val="0"/>
          <w:color w:val="000000"/>
          <w:sz w:val="28"/>
          <w:szCs w:val="28"/>
        </w:rPr>
        <w:t xml:space="preserve">è stato delegato all'orientamento della Facoltà di Giurisprudenza di Trento (1997-2002). </w:t>
      </w:r>
    </w:p>
    <w:p w:rsidR="00087E17" w:rsidRDefault="00087E17" w:rsidP="00087E17">
      <w:pPr>
        <w:pStyle w:val="Titolo1"/>
        <w:spacing w:before="0" w:beforeAutospacing="0" w:after="120" w:afterAutospacing="0"/>
        <w:jc w:val="both"/>
        <w:textAlignment w:val="baseline"/>
        <w:rPr>
          <w:b w:val="0"/>
          <w:color w:val="000000"/>
          <w:sz w:val="28"/>
          <w:szCs w:val="28"/>
        </w:rPr>
      </w:pPr>
      <w:r w:rsidRPr="00722BC4">
        <w:rPr>
          <w:b w:val="0"/>
          <w:color w:val="000000"/>
          <w:sz w:val="28"/>
          <w:szCs w:val="28"/>
        </w:rPr>
        <w:t xml:space="preserve">Nel ruolo di Professore </w:t>
      </w:r>
    </w:p>
    <w:p w:rsidR="00087E17" w:rsidRDefault="00087E17" w:rsidP="00087E17">
      <w:pPr>
        <w:pStyle w:val="Titolo1"/>
        <w:numPr>
          <w:ilvl w:val="0"/>
          <w:numId w:val="2"/>
        </w:numPr>
        <w:spacing w:before="0" w:beforeAutospacing="0" w:after="120" w:afterAutospacing="0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M</w:t>
      </w:r>
      <w:r w:rsidRPr="00722BC4">
        <w:rPr>
          <w:b w:val="0"/>
          <w:color w:val="000000"/>
          <w:sz w:val="28"/>
          <w:szCs w:val="28"/>
        </w:rPr>
        <w:t xml:space="preserve">embro (2003-2013) del Comitato direttivo della Scuola di specializzazione per le professioni legali (Trento-Verona) dove è </w:t>
      </w:r>
      <w:r w:rsidR="000C0DD2">
        <w:rPr>
          <w:b w:val="0"/>
          <w:color w:val="000000"/>
          <w:sz w:val="28"/>
          <w:szCs w:val="28"/>
        </w:rPr>
        <w:t xml:space="preserve">stato </w:t>
      </w:r>
      <w:r w:rsidRPr="00722BC4">
        <w:rPr>
          <w:b w:val="0"/>
          <w:color w:val="000000"/>
          <w:sz w:val="28"/>
          <w:szCs w:val="28"/>
        </w:rPr>
        <w:t>responsabile dell’area di Fondamenti del diritto europeo</w:t>
      </w:r>
      <w:r>
        <w:rPr>
          <w:b w:val="0"/>
          <w:color w:val="000000"/>
          <w:sz w:val="28"/>
          <w:szCs w:val="28"/>
        </w:rPr>
        <w:t xml:space="preserve"> dal 2003</w:t>
      </w:r>
      <w:r w:rsidR="000C0DD2">
        <w:rPr>
          <w:b w:val="0"/>
          <w:color w:val="000000"/>
          <w:sz w:val="28"/>
          <w:szCs w:val="28"/>
        </w:rPr>
        <w:t xml:space="preserve"> al 2022</w:t>
      </w:r>
      <w:r w:rsidRPr="00722BC4">
        <w:rPr>
          <w:b w:val="0"/>
          <w:color w:val="000000"/>
          <w:sz w:val="28"/>
          <w:szCs w:val="28"/>
        </w:rPr>
        <w:t xml:space="preserve">. </w:t>
      </w:r>
    </w:p>
    <w:p w:rsidR="00087E17" w:rsidRDefault="00087E17" w:rsidP="00087E17">
      <w:pPr>
        <w:pStyle w:val="Titolo1"/>
        <w:numPr>
          <w:ilvl w:val="0"/>
          <w:numId w:val="2"/>
        </w:numPr>
        <w:spacing w:before="0" w:beforeAutospacing="0" w:after="120" w:afterAutospacing="0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M</w:t>
      </w:r>
      <w:r w:rsidRPr="00F37243">
        <w:rPr>
          <w:b w:val="0"/>
          <w:color w:val="000000"/>
          <w:sz w:val="28"/>
          <w:szCs w:val="28"/>
        </w:rPr>
        <w:t>embro della giunta del Dipartimento di scienze giurid</w:t>
      </w:r>
      <w:r>
        <w:rPr>
          <w:b w:val="0"/>
          <w:color w:val="000000"/>
          <w:sz w:val="28"/>
          <w:szCs w:val="28"/>
        </w:rPr>
        <w:t>iche dell'Università di Trento (2005-2008)</w:t>
      </w:r>
    </w:p>
    <w:p w:rsidR="00087E17" w:rsidRDefault="00087E17" w:rsidP="00087E17">
      <w:pPr>
        <w:pStyle w:val="Titolo1"/>
        <w:numPr>
          <w:ilvl w:val="0"/>
          <w:numId w:val="2"/>
        </w:numPr>
        <w:spacing w:before="0" w:beforeAutospacing="0" w:after="120" w:afterAutospacing="0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Direttore del </w:t>
      </w:r>
      <w:r w:rsidRPr="00F37243">
        <w:rPr>
          <w:b w:val="0"/>
          <w:color w:val="000000"/>
          <w:sz w:val="28"/>
          <w:szCs w:val="28"/>
        </w:rPr>
        <w:t>Dipartimento di scienze giurid</w:t>
      </w:r>
      <w:r>
        <w:rPr>
          <w:b w:val="0"/>
          <w:color w:val="000000"/>
          <w:sz w:val="28"/>
          <w:szCs w:val="28"/>
        </w:rPr>
        <w:t>iche dell'Università di Trento (</w:t>
      </w:r>
      <w:r w:rsidRPr="00F37243">
        <w:rPr>
          <w:b w:val="0"/>
          <w:color w:val="000000"/>
          <w:sz w:val="28"/>
          <w:szCs w:val="28"/>
        </w:rPr>
        <w:t>20</w:t>
      </w:r>
      <w:r>
        <w:rPr>
          <w:b w:val="0"/>
          <w:color w:val="000000"/>
          <w:sz w:val="28"/>
          <w:szCs w:val="28"/>
        </w:rPr>
        <w:t>08-2012)</w:t>
      </w:r>
    </w:p>
    <w:p w:rsidR="00087E17" w:rsidRPr="008676A8" w:rsidRDefault="00087E17" w:rsidP="00087E17">
      <w:pPr>
        <w:pStyle w:val="Titolo1"/>
        <w:numPr>
          <w:ilvl w:val="0"/>
          <w:numId w:val="2"/>
        </w:numPr>
        <w:spacing w:before="0" w:beforeAutospacing="0" w:after="120" w:afterAutospacing="0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M</w:t>
      </w:r>
      <w:r w:rsidRPr="00F37243">
        <w:rPr>
          <w:b w:val="0"/>
          <w:color w:val="000000"/>
          <w:sz w:val="28"/>
          <w:szCs w:val="28"/>
        </w:rPr>
        <w:t>embro del Senato accademico dell’Università degli studi di Trento</w:t>
      </w:r>
      <w:r>
        <w:rPr>
          <w:b w:val="0"/>
          <w:color w:val="000000"/>
          <w:sz w:val="28"/>
          <w:szCs w:val="28"/>
        </w:rPr>
        <w:t xml:space="preserve"> (2012)</w:t>
      </w:r>
      <w:r w:rsidRPr="00F37243">
        <w:rPr>
          <w:b w:val="0"/>
          <w:color w:val="000000"/>
          <w:sz w:val="28"/>
          <w:szCs w:val="28"/>
        </w:rPr>
        <w:t>.</w:t>
      </w:r>
    </w:p>
    <w:p w:rsidR="00087E17" w:rsidRDefault="00087E17" w:rsidP="00087E17">
      <w:pPr>
        <w:pStyle w:val="Titolo1"/>
        <w:numPr>
          <w:ilvl w:val="0"/>
          <w:numId w:val="2"/>
        </w:numPr>
        <w:spacing w:before="0" w:beforeAutospacing="0" w:after="120" w:afterAutospacing="0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C</w:t>
      </w:r>
      <w:r w:rsidRPr="00F37243">
        <w:rPr>
          <w:b w:val="0"/>
          <w:color w:val="000000"/>
          <w:sz w:val="28"/>
          <w:szCs w:val="28"/>
        </w:rPr>
        <w:t>oordinatore del dottorato in Studi giuridici comparati e europei</w:t>
      </w:r>
      <w:r>
        <w:rPr>
          <w:b w:val="0"/>
          <w:color w:val="000000"/>
          <w:sz w:val="28"/>
          <w:szCs w:val="28"/>
        </w:rPr>
        <w:t xml:space="preserve"> (2013-2015)</w:t>
      </w:r>
    </w:p>
    <w:p w:rsidR="00087E17" w:rsidRDefault="00087E17" w:rsidP="00087E17">
      <w:pPr>
        <w:pStyle w:val="Titolo1"/>
        <w:numPr>
          <w:ilvl w:val="0"/>
          <w:numId w:val="2"/>
        </w:numPr>
        <w:spacing w:before="0" w:beforeAutospacing="0" w:after="120" w:afterAutospacing="0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M</w:t>
      </w:r>
      <w:r w:rsidRPr="00F37243">
        <w:rPr>
          <w:b w:val="0"/>
          <w:color w:val="000000"/>
          <w:sz w:val="28"/>
          <w:szCs w:val="28"/>
        </w:rPr>
        <w:t>embro del consiglio di presidenza della Facoltà di Giurisprudenza di Trento</w:t>
      </w:r>
      <w:r>
        <w:rPr>
          <w:b w:val="0"/>
          <w:color w:val="000000"/>
          <w:sz w:val="28"/>
          <w:szCs w:val="28"/>
        </w:rPr>
        <w:t xml:space="preserve"> (2013-2015)</w:t>
      </w:r>
      <w:r w:rsidRPr="00F37243">
        <w:rPr>
          <w:b w:val="0"/>
          <w:color w:val="000000"/>
          <w:sz w:val="28"/>
          <w:szCs w:val="28"/>
        </w:rPr>
        <w:t xml:space="preserve">. </w:t>
      </w:r>
    </w:p>
    <w:p w:rsidR="00087E17" w:rsidRDefault="00087E17" w:rsidP="00087E17">
      <w:pPr>
        <w:pStyle w:val="Titolo1"/>
        <w:numPr>
          <w:ilvl w:val="0"/>
          <w:numId w:val="2"/>
        </w:numPr>
        <w:spacing w:before="0" w:beforeAutospacing="0" w:after="120" w:afterAutospacing="0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Membro del Comitato candidature a rettore dell’Università degli studi di Trento (con </w:t>
      </w:r>
      <w:r w:rsidRPr="00EF50BE">
        <w:rPr>
          <w:b w:val="0"/>
          <w:sz w:val="28"/>
          <w:szCs w:val="28"/>
        </w:rPr>
        <w:t>il compito di proporre i criteri e i termini per l’avviso di vacanza e di esaminare le candidature a rettore</w:t>
      </w:r>
      <w:r>
        <w:rPr>
          <w:b w:val="0"/>
          <w:sz w:val="28"/>
          <w:szCs w:val="28"/>
        </w:rPr>
        <w:t>) (2014)</w:t>
      </w:r>
    </w:p>
    <w:p w:rsidR="00087E17" w:rsidRDefault="00087E17" w:rsidP="00087E17">
      <w:pPr>
        <w:pStyle w:val="Titolo1"/>
        <w:numPr>
          <w:ilvl w:val="0"/>
          <w:numId w:val="2"/>
        </w:numPr>
        <w:spacing w:before="0" w:beforeAutospacing="0" w:after="120" w:afterAutospacing="0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M</w:t>
      </w:r>
      <w:r w:rsidRPr="00F37243">
        <w:rPr>
          <w:b w:val="0"/>
          <w:color w:val="000000"/>
          <w:sz w:val="28"/>
          <w:szCs w:val="28"/>
        </w:rPr>
        <w:t>embro del Senato accademico dell’Università degli studi di Trento</w:t>
      </w:r>
      <w:r>
        <w:rPr>
          <w:b w:val="0"/>
          <w:color w:val="000000"/>
          <w:sz w:val="28"/>
          <w:szCs w:val="28"/>
        </w:rPr>
        <w:t xml:space="preserve"> (2015-2018)</w:t>
      </w:r>
      <w:r w:rsidRPr="00F37243">
        <w:rPr>
          <w:b w:val="0"/>
          <w:color w:val="000000"/>
          <w:sz w:val="28"/>
          <w:szCs w:val="28"/>
        </w:rPr>
        <w:t>.</w:t>
      </w:r>
    </w:p>
    <w:p w:rsidR="00087E17" w:rsidRDefault="00087E17" w:rsidP="00087E17">
      <w:pPr>
        <w:pStyle w:val="Titolo1"/>
        <w:numPr>
          <w:ilvl w:val="0"/>
          <w:numId w:val="2"/>
        </w:numPr>
        <w:spacing w:before="0" w:beforeAutospacing="0" w:after="120" w:afterAutospacing="0"/>
        <w:jc w:val="both"/>
        <w:textAlignment w:val="baseline"/>
        <w:rPr>
          <w:b w:val="0"/>
          <w:color w:val="000000"/>
          <w:sz w:val="28"/>
          <w:szCs w:val="28"/>
        </w:rPr>
      </w:pPr>
      <w:proofErr w:type="spellStart"/>
      <w:r w:rsidRPr="00F37243">
        <w:rPr>
          <w:b w:val="0"/>
          <w:color w:val="000000"/>
          <w:sz w:val="28"/>
          <w:szCs w:val="28"/>
        </w:rPr>
        <w:t>E’</w:t>
      </w:r>
      <w:r>
        <w:rPr>
          <w:b w:val="0"/>
          <w:color w:val="000000"/>
          <w:sz w:val="28"/>
          <w:szCs w:val="28"/>
        </w:rPr>
        <w:t>stato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r w:rsidRPr="00F37243">
        <w:rPr>
          <w:b w:val="0"/>
          <w:color w:val="000000"/>
          <w:sz w:val="28"/>
          <w:szCs w:val="28"/>
        </w:rPr>
        <w:t>delegato di Ateneo presso il Centro culturale italo-cinese Martino</w:t>
      </w:r>
      <w:r w:rsidRPr="00F37243">
        <w:rPr>
          <w:b w:val="0"/>
          <w:color w:val="000000"/>
          <w:sz w:val="28"/>
          <w:szCs w:val="28"/>
          <w:shd w:val="clear" w:color="auto" w:fill="F7FCD3"/>
        </w:rPr>
        <w:t xml:space="preserve"> </w:t>
      </w:r>
      <w:r w:rsidRPr="00F37243">
        <w:rPr>
          <w:b w:val="0"/>
          <w:color w:val="000000"/>
          <w:sz w:val="28"/>
          <w:szCs w:val="28"/>
        </w:rPr>
        <w:t>Martini di Trento</w:t>
      </w:r>
      <w:r>
        <w:rPr>
          <w:b w:val="0"/>
          <w:color w:val="000000"/>
          <w:sz w:val="28"/>
          <w:szCs w:val="28"/>
        </w:rPr>
        <w:t xml:space="preserve"> dal 2015 al 2019</w:t>
      </w:r>
      <w:r w:rsidRPr="00F37243">
        <w:rPr>
          <w:b w:val="0"/>
          <w:color w:val="000000"/>
          <w:sz w:val="28"/>
          <w:szCs w:val="28"/>
        </w:rPr>
        <w:t xml:space="preserve">.  </w:t>
      </w:r>
    </w:p>
    <w:p w:rsidR="00087E17" w:rsidRPr="00F37243" w:rsidRDefault="00087E17" w:rsidP="00087E17">
      <w:pPr>
        <w:pStyle w:val="Titolo1"/>
        <w:numPr>
          <w:ilvl w:val="0"/>
          <w:numId w:val="2"/>
        </w:numPr>
        <w:spacing w:before="0" w:beforeAutospacing="0" w:after="120" w:afterAutospacing="0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Membro del Collegio di disciplina dell’Università degli Studi di Brescia</w:t>
      </w:r>
    </w:p>
    <w:p w:rsidR="00087E17" w:rsidRPr="00722BC4" w:rsidRDefault="00087E17" w:rsidP="00087E17">
      <w:pPr>
        <w:pStyle w:val="Titolo1"/>
        <w:spacing w:before="0" w:beforeAutospacing="0" w:after="120" w:afterAutospacing="0"/>
        <w:jc w:val="both"/>
        <w:textAlignment w:val="baseline"/>
        <w:rPr>
          <w:b w:val="0"/>
          <w:color w:val="000000"/>
          <w:sz w:val="28"/>
          <w:szCs w:val="28"/>
        </w:rPr>
      </w:pPr>
    </w:p>
    <w:p w:rsidR="00087E17" w:rsidRDefault="00087E17" w:rsidP="00087E17">
      <w:pPr>
        <w:pStyle w:val="Titolo1"/>
        <w:spacing w:before="0" w:beforeAutospacing="0" w:after="120" w:afterAutospacing="0"/>
        <w:jc w:val="both"/>
        <w:textAlignment w:val="baseline"/>
        <w:rPr>
          <w:b w:val="0"/>
          <w:color w:val="000000"/>
          <w:sz w:val="28"/>
          <w:szCs w:val="28"/>
        </w:rPr>
      </w:pPr>
      <w:r w:rsidRPr="00722BC4">
        <w:rPr>
          <w:b w:val="0"/>
          <w:color w:val="000000"/>
          <w:sz w:val="28"/>
          <w:szCs w:val="28"/>
        </w:rPr>
        <w:t xml:space="preserve">Ha svolto periodi di ricerca presso diverse università italiane e straniere (fra cui Heidelberg, Mainz, Paris II, </w:t>
      </w:r>
      <w:proofErr w:type="spellStart"/>
      <w:r w:rsidRPr="00722BC4">
        <w:rPr>
          <w:b w:val="0"/>
          <w:color w:val="000000"/>
          <w:sz w:val="28"/>
          <w:szCs w:val="28"/>
        </w:rPr>
        <w:t>Salzburg</w:t>
      </w:r>
      <w:proofErr w:type="spellEnd"/>
      <w:r>
        <w:rPr>
          <w:b w:val="0"/>
          <w:color w:val="000000"/>
          <w:sz w:val="28"/>
          <w:szCs w:val="28"/>
        </w:rPr>
        <w:t>, Oxford</w:t>
      </w:r>
      <w:r w:rsidRPr="00722BC4">
        <w:rPr>
          <w:b w:val="0"/>
          <w:color w:val="000000"/>
          <w:sz w:val="28"/>
          <w:szCs w:val="28"/>
        </w:rPr>
        <w:t xml:space="preserve">). </w:t>
      </w:r>
    </w:p>
    <w:p w:rsidR="00087E17" w:rsidRDefault="00087E17" w:rsidP="00087E17">
      <w:pPr>
        <w:pStyle w:val="Titolo1"/>
        <w:spacing w:before="0" w:beforeAutospacing="0" w:after="120" w:afterAutospacing="0"/>
        <w:jc w:val="both"/>
        <w:textAlignment w:val="baseline"/>
        <w:rPr>
          <w:b w:val="0"/>
          <w:color w:val="000000"/>
          <w:sz w:val="28"/>
          <w:szCs w:val="28"/>
        </w:rPr>
      </w:pPr>
      <w:r w:rsidRPr="00722BC4">
        <w:rPr>
          <w:b w:val="0"/>
          <w:color w:val="000000"/>
          <w:sz w:val="28"/>
          <w:szCs w:val="28"/>
        </w:rPr>
        <w:t xml:space="preserve">E’ stato invitato in qualità di relatore, a numerosi seminari e convegni nazionali e internazionali (fra cui, Heidelberg, Mainz, </w:t>
      </w:r>
      <w:proofErr w:type="spellStart"/>
      <w:r w:rsidRPr="00722BC4">
        <w:rPr>
          <w:b w:val="0"/>
          <w:color w:val="000000"/>
          <w:sz w:val="28"/>
          <w:szCs w:val="28"/>
        </w:rPr>
        <w:t>Salzburg</w:t>
      </w:r>
      <w:proofErr w:type="spellEnd"/>
      <w:r w:rsidRPr="00722BC4">
        <w:rPr>
          <w:b w:val="0"/>
          <w:color w:val="000000"/>
          <w:sz w:val="28"/>
          <w:szCs w:val="28"/>
        </w:rPr>
        <w:t xml:space="preserve">, </w:t>
      </w:r>
      <w:proofErr w:type="spellStart"/>
      <w:r w:rsidRPr="00722BC4">
        <w:rPr>
          <w:b w:val="0"/>
          <w:color w:val="000000"/>
          <w:sz w:val="28"/>
          <w:szCs w:val="28"/>
        </w:rPr>
        <w:t>Institut</w:t>
      </w:r>
      <w:proofErr w:type="spellEnd"/>
      <w:r w:rsidRPr="00722BC4">
        <w:rPr>
          <w:b w:val="0"/>
          <w:color w:val="000000"/>
          <w:sz w:val="28"/>
          <w:szCs w:val="28"/>
        </w:rPr>
        <w:t xml:space="preserve"> de </w:t>
      </w:r>
      <w:proofErr w:type="spellStart"/>
      <w:r w:rsidRPr="00722BC4">
        <w:rPr>
          <w:b w:val="0"/>
          <w:color w:val="000000"/>
          <w:sz w:val="28"/>
          <w:szCs w:val="28"/>
        </w:rPr>
        <w:t>droit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proofErr w:type="spellStart"/>
      <w:r w:rsidRPr="00722BC4">
        <w:rPr>
          <w:b w:val="0"/>
          <w:color w:val="000000"/>
          <w:sz w:val="28"/>
          <w:szCs w:val="28"/>
        </w:rPr>
        <w:t>Romain</w:t>
      </w:r>
      <w:proofErr w:type="spellEnd"/>
      <w:r w:rsidRPr="00722BC4">
        <w:rPr>
          <w:b w:val="0"/>
          <w:color w:val="000000"/>
          <w:sz w:val="28"/>
          <w:szCs w:val="28"/>
        </w:rPr>
        <w:t xml:space="preserve"> Paris II </w:t>
      </w:r>
      <w:proofErr w:type="spellStart"/>
      <w:r w:rsidRPr="00722BC4">
        <w:rPr>
          <w:b w:val="0"/>
          <w:color w:val="000000"/>
          <w:sz w:val="28"/>
          <w:szCs w:val="28"/>
        </w:rPr>
        <w:t>Panthéon-Assas</w:t>
      </w:r>
      <w:proofErr w:type="spellEnd"/>
      <w:r w:rsidRPr="00722BC4">
        <w:rPr>
          <w:b w:val="0"/>
          <w:color w:val="000000"/>
          <w:sz w:val="28"/>
          <w:szCs w:val="28"/>
        </w:rPr>
        <w:t xml:space="preserve">, </w:t>
      </w:r>
      <w:proofErr w:type="spellStart"/>
      <w:r w:rsidRPr="00722BC4">
        <w:rPr>
          <w:b w:val="0"/>
          <w:color w:val="000000"/>
          <w:sz w:val="28"/>
          <w:szCs w:val="28"/>
        </w:rPr>
        <w:t>All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proofErr w:type="spellStart"/>
      <w:r w:rsidRPr="00722BC4">
        <w:rPr>
          <w:b w:val="0"/>
          <w:color w:val="000000"/>
          <w:sz w:val="28"/>
          <w:szCs w:val="28"/>
        </w:rPr>
        <w:t>Souls</w:t>
      </w:r>
      <w:proofErr w:type="spellEnd"/>
      <w:r w:rsidRPr="00722BC4">
        <w:rPr>
          <w:b w:val="0"/>
          <w:color w:val="000000"/>
          <w:sz w:val="28"/>
          <w:szCs w:val="28"/>
        </w:rPr>
        <w:t xml:space="preserve"> College Oxford, </w:t>
      </w:r>
      <w:proofErr w:type="spellStart"/>
      <w:r w:rsidRPr="00722BC4">
        <w:rPr>
          <w:b w:val="0"/>
          <w:color w:val="000000"/>
          <w:sz w:val="28"/>
          <w:szCs w:val="28"/>
        </w:rPr>
        <w:t>Universidad</w:t>
      </w:r>
      <w:proofErr w:type="spellEnd"/>
      <w:r w:rsidRPr="00722BC4">
        <w:rPr>
          <w:b w:val="0"/>
          <w:color w:val="000000"/>
          <w:sz w:val="28"/>
          <w:szCs w:val="28"/>
        </w:rPr>
        <w:t xml:space="preserve"> Pontificia Santiago Chile, </w:t>
      </w:r>
      <w:proofErr w:type="spellStart"/>
      <w:r w:rsidRPr="00722BC4">
        <w:rPr>
          <w:b w:val="0"/>
          <w:color w:val="000000"/>
          <w:sz w:val="28"/>
          <w:szCs w:val="28"/>
        </w:rPr>
        <w:lastRenderedPageBreak/>
        <w:t>Warszawa</w:t>
      </w:r>
      <w:proofErr w:type="spellEnd"/>
      <w:r w:rsidRPr="00722BC4">
        <w:rPr>
          <w:b w:val="0"/>
          <w:color w:val="000000"/>
          <w:sz w:val="28"/>
          <w:szCs w:val="28"/>
        </w:rPr>
        <w:t xml:space="preserve">, </w:t>
      </w:r>
      <w:proofErr w:type="spellStart"/>
      <w:r w:rsidRPr="00722BC4">
        <w:rPr>
          <w:b w:val="0"/>
          <w:color w:val="000000"/>
          <w:sz w:val="28"/>
          <w:szCs w:val="28"/>
        </w:rPr>
        <w:t>Instanbul</w:t>
      </w:r>
      <w:proofErr w:type="spellEnd"/>
      <w:r w:rsidRPr="00722BC4">
        <w:rPr>
          <w:b w:val="0"/>
          <w:color w:val="000000"/>
          <w:sz w:val="28"/>
          <w:szCs w:val="28"/>
        </w:rPr>
        <w:t>, Praga, Cracovia, Liegi</w:t>
      </w:r>
      <w:r>
        <w:rPr>
          <w:b w:val="0"/>
          <w:color w:val="000000"/>
          <w:sz w:val="28"/>
          <w:szCs w:val="28"/>
        </w:rPr>
        <w:t>,</w:t>
      </w:r>
      <w:r w:rsidRPr="00925D12">
        <w:rPr>
          <w:b w:val="0"/>
          <w:color w:val="000000"/>
          <w:sz w:val="28"/>
          <w:szCs w:val="28"/>
        </w:rPr>
        <w:t xml:space="preserve"> </w:t>
      </w:r>
      <w:proofErr w:type="spellStart"/>
      <w:r w:rsidRPr="00722BC4">
        <w:rPr>
          <w:b w:val="0"/>
          <w:color w:val="000000"/>
          <w:sz w:val="28"/>
          <w:szCs w:val="28"/>
        </w:rPr>
        <w:t>Peking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proofErr w:type="spellStart"/>
      <w:r w:rsidRPr="00722BC4">
        <w:rPr>
          <w:b w:val="0"/>
          <w:color w:val="000000"/>
          <w:sz w:val="28"/>
          <w:szCs w:val="28"/>
        </w:rPr>
        <w:t>University</w:t>
      </w:r>
      <w:proofErr w:type="spellEnd"/>
      <w:r w:rsidRPr="00722BC4">
        <w:rPr>
          <w:b w:val="0"/>
          <w:color w:val="000000"/>
          <w:sz w:val="28"/>
          <w:szCs w:val="28"/>
        </w:rPr>
        <w:t>, Salamanca, Colonia</w:t>
      </w:r>
      <w:r w:rsidR="000C0DD2">
        <w:rPr>
          <w:b w:val="0"/>
          <w:color w:val="000000"/>
          <w:sz w:val="28"/>
          <w:szCs w:val="28"/>
        </w:rPr>
        <w:t>, Lisbona</w:t>
      </w:r>
      <w:r>
        <w:rPr>
          <w:b w:val="0"/>
          <w:color w:val="000000"/>
          <w:sz w:val="28"/>
          <w:szCs w:val="28"/>
        </w:rPr>
        <w:t xml:space="preserve">; </w:t>
      </w:r>
      <w:r w:rsidRPr="00722BC4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Bari Aldo Moro, Bari Lumsa,  Bologna, Brescia, Como </w:t>
      </w:r>
      <w:proofErr w:type="spellStart"/>
      <w:r>
        <w:rPr>
          <w:b w:val="0"/>
          <w:color w:val="000000"/>
          <w:sz w:val="28"/>
          <w:szCs w:val="28"/>
        </w:rPr>
        <w:t>Insubria</w:t>
      </w:r>
      <w:proofErr w:type="spellEnd"/>
      <w:r>
        <w:rPr>
          <w:b w:val="0"/>
          <w:color w:val="000000"/>
          <w:sz w:val="28"/>
          <w:szCs w:val="28"/>
        </w:rPr>
        <w:t xml:space="preserve">, </w:t>
      </w:r>
      <w:r w:rsidRPr="00722BC4">
        <w:rPr>
          <w:b w:val="0"/>
          <w:color w:val="000000"/>
          <w:sz w:val="28"/>
          <w:szCs w:val="28"/>
        </w:rPr>
        <w:t>Copanello</w:t>
      </w:r>
      <w:r w:rsidRPr="00722BC4">
        <w:rPr>
          <w:b w:val="0"/>
          <w:color w:val="000000"/>
          <w:sz w:val="28"/>
          <w:szCs w:val="28"/>
          <w:shd w:val="clear" w:color="auto" w:fill="F7FCD3"/>
        </w:rPr>
        <w:t xml:space="preserve"> </w:t>
      </w:r>
      <w:r>
        <w:rPr>
          <w:b w:val="0"/>
          <w:color w:val="000000"/>
          <w:sz w:val="28"/>
          <w:szCs w:val="28"/>
        </w:rPr>
        <w:t>C</w:t>
      </w:r>
      <w:r w:rsidRPr="00722BC4">
        <w:rPr>
          <w:b w:val="0"/>
          <w:color w:val="000000"/>
          <w:sz w:val="28"/>
          <w:szCs w:val="28"/>
        </w:rPr>
        <w:t>onvegno internazionale di diritto romano</w:t>
      </w:r>
      <w:r w:rsidR="000C0DD2">
        <w:rPr>
          <w:b w:val="0"/>
          <w:color w:val="000000"/>
          <w:sz w:val="28"/>
          <w:szCs w:val="28"/>
        </w:rPr>
        <w:t>, Enna Kore,</w:t>
      </w:r>
      <w:r>
        <w:rPr>
          <w:b w:val="0"/>
          <w:color w:val="000000"/>
          <w:sz w:val="28"/>
          <w:szCs w:val="28"/>
        </w:rPr>
        <w:t xml:space="preserve"> Ferrara, Foggia, Milano Bicocca, Modena, Napoli Federico II, Perugia Accademia romanistica Costantiniana, Padova, Palermo</w:t>
      </w:r>
      <w:r w:rsidRPr="00722BC4">
        <w:rPr>
          <w:b w:val="0"/>
          <w:color w:val="000000"/>
          <w:sz w:val="28"/>
          <w:szCs w:val="28"/>
        </w:rPr>
        <w:t>,</w:t>
      </w:r>
      <w:r>
        <w:rPr>
          <w:b w:val="0"/>
          <w:color w:val="000000"/>
          <w:sz w:val="28"/>
          <w:szCs w:val="28"/>
        </w:rPr>
        <w:t xml:space="preserve"> Parma,</w:t>
      </w:r>
      <w:r w:rsidRPr="00722BC4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Piacenza Cattolica, Ravenna, Roma Sapienza, </w:t>
      </w:r>
      <w:r w:rsidRPr="00722BC4">
        <w:rPr>
          <w:b w:val="0"/>
          <w:color w:val="000000"/>
          <w:sz w:val="28"/>
          <w:szCs w:val="28"/>
        </w:rPr>
        <w:t>Roma Tor Vergata</w:t>
      </w:r>
      <w:r>
        <w:rPr>
          <w:b w:val="0"/>
          <w:color w:val="000000"/>
          <w:sz w:val="28"/>
          <w:szCs w:val="28"/>
        </w:rPr>
        <w:t xml:space="preserve">, Roma Tre, Teramo, </w:t>
      </w:r>
      <w:r w:rsidR="000C0DD2">
        <w:rPr>
          <w:b w:val="0"/>
          <w:color w:val="000000"/>
          <w:sz w:val="28"/>
          <w:szCs w:val="28"/>
        </w:rPr>
        <w:t xml:space="preserve">Trento, </w:t>
      </w:r>
      <w:r>
        <w:rPr>
          <w:b w:val="0"/>
          <w:color w:val="000000"/>
          <w:sz w:val="28"/>
          <w:szCs w:val="28"/>
        </w:rPr>
        <w:t>Trieste, Verona, Urbino</w:t>
      </w:r>
      <w:r w:rsidRPr="00722BC4">
        <w:rPr>
          <w:b w:val="0"/>
          <w:color w:val="000000"/>
          <w:sz w:val="28"/>
          <w:szCs w:val="28"/>
        </w:rPr>
        <w:t xml:space="preserve">). </w:t>
      </w:r>
      <w:r>
        <w:rPr>
          <w:b w:val="0"/>
          <w:color w:val="000000"/>
          <w:sz w:val="28"/>
          <w:szCs w:val="28"/>
        </w:rPr>
        <w:t xml:space="preserve"> Presso l’università di Trento ha organizzato e coordinato circa 30 iniziative scientifiche fra seminari scientifici, convegni nazionali ed internazionali</w:t>
      </w:r>
    </w:p>
    <w:p w:rsidR="00087E17" w:rsidRPr="00722BC4" w:rsidRDefault="00087E17" w:rsidP="00087E17">
      <w:pPr>
        <w:pStyle w:val="Titolo1"/>
        <w:spacing w:before="0" w:beforeAutospacing="0" w:after="120" w:afterAutospacing="0"/>
        <w:jc w:val="both"/>
        <w:textAlignment w:val="baseline"/>
        <w:rPr>
          <w:b w:val="0"/>
          <w:color w:val="000000"/>
          <w:sz w:val="28"/>
          <w:szCs w:val="28"/>
          <w:shd w:val="clear" w:color="auto" w:fill="F7FCD3"/>
        </w:rPr>
      </w:pPr>
      <w:r>
        <w:rPr>
          <w:b w:val="0"/>
          <w:color w:val="000000"/>
          <w:sz w:val="28"/>
          <w:szCs w:val="28"/>
        </w:rPr>
        <w:t xml:space="preserve">È </w:t>
      </w:r>
      <w:r w:rsidRPr="00722BC4">
        <w:rPr>
          <w:b w:val="0"/>
          <w:color w:val="000000"/>
          <w:sz w:val="28"/>
          <w:szCs w:val="28"/>
        </w:rPr>
        <w:t xml:space="preserve">membro dell'Accademia Romanistica Costantiniana, dell'ARISTEC, dell'Associazione Studi </w:t>
      </w:r>
      <w:proofErr w:type="spellStart"/>
      <w:r w:rsidRPr="00722BC4">
        <w:rPr>
          <w:b w:val="0"/>
          <w:color w:val="000000"/>
          <w:sz w:val="28"/>
          <w:szCs w:val="28"/>
        </w:rPr>
        <w:t>Tardoantichi</w:t>
      </w:r>
      <w:proofErr w:type="spellEnd"/>
      <w:r w:rsidRPr="00722BC4">
        <w:rPr>
          <w:b w:val="0"/>
          <w:color w:val="000000"/>
          <w:sz w:val="28"/>
          <w:szCs w:val="28"/>
        </w:rPr>
        <w:t>, della Società di italiana di storia del diritto</w:t>
      </w:r>
      <w:r>
        <w:rPr>
          <w:b w:val="0"/>
          <w:color w:val="000000"/>
          <w:sz w:val="28"/>
          <w:szCs w:val="28"/>
        </w:rPr>
        <w:t>, dell’Istituto Emilio Betti</w:t>
      </w:r>
      <w:r w:rsidRPr="00722BC4">
        <w:rPr>
          <w:b w:val="0"/>
          <w:color w:val="000000"/>
          <w:sz w:val="28"/>
          <w:szCs w:val="28"/>
        </w:rPr>
        <w:t>.</w:t>
      </w:r>
      <w:r w:rsidRPr="00722BC4">
        <w:rPr>
          <w:b w:val="0"/>
          <w:color w:val="000000"/>
          <w:sz w:val="28"/>
          <w:szCs w:val="28"/>
          <w:shd w:val="clear" w:color="auto" w:fill="F7FCD3"/>
        </w:rPr>
        <w:t xml:space="preserve"> </w:t>
      </w:r>
    </w:p>
    <w:p w:rsidR="00087E17" w:rsidRDefault="00087E17" w:rsidP="00087E17">
      <w:pPr>
        <w:pStyle w:val="Titolo1"/>
        <w:spacing w:before="0" w:beforeAutospacing="0" w:after="120" w:afterAutospacing="0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È </w:t>
      </w:r>
      <w:r w:rsidRPr="00722BC4">
        <w:rPr>
          <w:b w:val="0"/>
          <w:color w:val="000000"/>
          <w:sz w:val="28"/>
          <w:szCs w:val="28"/>
        </w:rPr>
        <w:t xml:space="preserve">membro del consiglio di direzione della collana </w:t>
      </w:r>
      <w:r w:rsidRPr="007B478A">
        <w:rPr>
          <w:b w:val="0"/>
          <w:i/>
          <w:color w:val="000000"/>
          <w:sz w:val="28"/>
          <w:szCs w:val="28"/>
        </w:rPr>
        <w:t xml:space="preserve">Modelli teorici e metodologici nella storia del diritto privato </w:t>
      </w:r>
      <w:r w:rsidRPr="00722BC4">
        <w:rPr>
          <w:b w:val="0"/>
          <w:color w:val="000000"/>
          <w:sz w:val="28"/>
          <w:szCs w:val="28"/>
        </w:rPr>
        <w:t>(</w:t>
      </w:r>
      <w:proofErr w:type="spellStart"/>
      <w:r w:rsidRPr="00722BC4">
        <w:rPr>
          <w:b w:val="0"/>
          <w:color w:val="000000"/>
          <w:sz w:val="28"/>
          <w:szCs w:val="28"/>
        </w:rPr>
        <w:t>Jovene</w:t>
      </w:r>
      <w:proofErr w:type="spellEnd"/>
      <w:r w:rsidRPr="00722BC4">
        <w:rPr>
          <w:b w:val="0"/>
          <w:color w:val="000000"/>
          <w:sz w:val="28"/>
          <w:szCs w:val="28"/>
        </w:rPr>
        <w:t xml:space="preserve"> editore)</w:t>
      </w:r>
      <w:r>
        <w:rPr>
          <w:b w:val="0"/>
          <w:color w:val="000000"/>
          <w:sz w:val="28"/>
          <w:szCs w:val="28"/>
        </w:rPr>
        <w:t xml:space="preserve"> </w:t>
      </w:r>
      <w:r w:rsidRPr="00722BC4">
        <w:rPr>
          <w:b w:val="0"/>
          <w:color w:val="000000"/>
          <w:sz w:val="28"/>
          <w:szCs w:val="28"/>
        </w:rPr>
        <w:t xml:space="preserve">e del comitato scientifico della collana </w:t>
      </w:r>
      <w:r w:rsidRPr="007B478A">
        <w:rPr>
          <w:b w:val="0"/>
          <w:i/>
          <w:color w:val="000000"/>
          <w:sz w:val="28"/>
          <w:szCs w:val="28"/>
        </w:rPr>
        <w:t>Antiqua</w:t>
      </w:r>
      <w:r w:rsidRPr="00722BC4">
        <w:rPr>
          <w:b w:val="0"/>
          <w:color w:val="000000"/>
          <w:sz w:val="28"/>
          <w:szCs w:val="28"/>
        </w:rPr>
        <w:t xml:space="preserve"> (</w:t>
      </w:r>
      <w:proofErr w:type="spellStart"/>
      <w:r w:rsidRPr="00722BC4">
        <w:rPr>
          <w:b w:val="0"/>
          <w:color w:val="000000"/>
          <w:sz w:val="28"/>
          <w:szCs w:val="28"/>
        </w:rPr>
        <w:t>Jovene</w:t>
      </w:r>
      <w:proofErr w:type="spellEnd"/>
      <w:r w:rsidRPr="00722BC4">
        <w:rPr>
          <w:b w:val="0"/>
          <w:color w:val="000000"/>
          <w:sz w:val="28"/>
          <w:szCs w:val="28"/>
        </w:rPr>
        <w:t xml:space="preserve"> editore), </w:t>
      </w:r>
      <w:r w:rsidRPr="007B478A">
        <w:rPr>
          <w:b w:val="0"/>
          <w:color w:val="000000"/>
          <w:sz w:val="28"/>
          <w:szCs w:val="28"/>
        </w:rPr>
        <w:t>dell’</w:t>
      </w:r>
      <w:r w:rsidRPr="007B478A">
        <w:rPr>
          <w:b w:val="0"/>
          <w:i/>
          <w:color w:val="000000"/>
          <w:sz w:val="28"/>
          <w:szCs w:val="28"/>
        </w:rPr>
        <w:t>Archivio giuridico Filippo Serafini</w:t>
      </w:r>
      <w:r>
        <w:rPr>
          <w:b w:val="0"/>
          <w:color w:val="000000"/>
          <w:sz w:val="28"/>
          <w:szCs w:val="28"/>
        </w:rPr>
        <w:t xml:space="preserve">, </w:t>
      </w:r>
      <w:r w:rsidRPr="00722BC4">
        <w:rPr>
          <w:b w:val="0"/>
          <w:color w:val="000000"/>
          <w:sz w:val="28"/>
          <w:szCs w:val="28"/>
        </w:rPr>
        <w:t xml:space="preserve">dei </w:t>
      </w:r>
      <w:proofErr w:type="spellStart"/>
      <w:r w:rsidRPr="007B478A">
        <w:rPr>
          <w:b w:val="0"/>
          <w:i/>
          <w:color w:val="000000"/>
          <w:sz w:val="28"/>
          <w:szCs w:val="28"/>
        </w:rPr>
        <w:t>Seminarios</w:t>
      </w:r>
      <w:proofErr w:type="spellEnd"/>
      <w:r w:rsidRPr="007B478A">
        <w:rPr>
          <w:b w:val="0"/>
          <w:i/>
          <w:color w:val="000000"/>
          <w:sz w:val="28"/>
          <w:szCs w:val="28"/>
        </w:rPr>
        <w:t xml:space="preserve"> </w:t>
      </w:r>
      <w:proofErr w:type="spellStart"/>
      <w:r w:rsidRPr="007B478A">
        <w:rPr>
          <w:b w:val="0"/>
          <w:i/>
          <w:color w:val="000000"/>
          <w:sz w:val="28"/>
          <w:szCs w:val="28"/>
        </w:rPr>
        <w:t>Complutenses</w:t>
      </w:r>
      <w:proofErr w:type="spellEnd"/>
      <w:r w:rsidRPr="007B478A">
        <w:rPr>
          <w:b w:val="0"/>
          <w:i/>
          <w:color w:val="000000"/>
          <w:sz w:val="28"/>
          <w:szCs w:val="28"/>
        </w:rPr>
        <w:t xml:space="preserve"> de </w:t>
      </w:r>
      <w:proofErr w:type="spellStart"/>
      <w:r w:rsidRPr="007B478A">
        <w:rPr>
          <w:b w:val="0"/>
          <w:i/>
          <w:color w:val="000000"/>
          <w:sz w:val="28"/>
          <w:szCs w:val="28"/>
        </w:rPr>
        <w:t>derecho</w:t>
      </w:r>
      <w:proofErr w:type="spellEnd"/>
      <w:r w:rsidRPr="007B478A">
        <w:rPr>
          <w:b w:val="0"/>
          <w:i/>
          <w:color w:val="000000"/>
          <w:sz w:val="28"/>
          <w:szCs w:val="28"/>
        </w:rPr>
        <w:t xml:space="preserve"> romano, </w:t>
      </w:r>
      <w:proofErr w:type="spellStart"/>
      <w:r w:rsidRPr="007B478A">
        <w:rPr>
          <w:b w:val="0"/>
          <w:i/>
          <w:color w:val="000000"/>
          <w:sz w:val="28"/>
          <w:szCs w:val="28"/>
        </w:rPr>
        <w:t>Revista</w:t>
      </w:r>
      <w:proofErr w:type="spellEnd"/>
      <w:r w:rsidRPr="007B478A">
        <w:rPr>
          <w:b w:val="0"/>
          <w:i/>
          <w:color w:val="000000"/>
          <w:sz w:val="28"/>
          <w:szCs w:val="28"/>
        </w:rPr>
        <w:t xml:space="preserve"> </w:t>
      </w:r>
      <w:proofErr w:type="spellStart"/>
      <w:r w:rsidRPr="007B478A">
        <w:rPr>
          <w:b w:val="0"/>
          <w:i/>
          <w:color w:val="000000"/>
          <w:sz w:val="28"/>
          <w:szCs w:val="28"/>
        </w:rPr>
        <w:t>internacional</w:t>
      </w:r>
      <w:proofErr w:type="spellEnd"/>
      <w:r w:rsidRPr="00F37243">
        <w:rPr>
          <w:b w:val="0"/>
          <w:color w:val="000000"/>
          <w:sz w:val="28"/>
          <w:szCs w:val="28"/>
        </w:rPr>
        <w:t xml:space="preserve">, di </w:t>
      </w:r>
      <w:r w:rsidRPr="007B478A">
        <w:rPr>
          <w:b w:val="0"/>
          <w:i/>
          <w:color w:val="000000"/>
          <w:sz w:val="28"/>
          <w:szCs w:val="28"/>
        </w:rPr>
        <w:t>Cultura giuridica e diritto vivente</w:t>
      </w:r>
      <w:r>
        <w:rPr>
          <w:b w:val="0"/>
          <w:color w:val="000000"/>
          <w:sz w:val="28"/>
          <w:szCs w:val="28"/>
        </w:rPr>
        <w:t xml:space="preserve">, di </w:t>
      </w:r>
      <w:r w:rsidRPr="007B478A">
        <w:rPr>
          <w:b w:val="0"/>
          <w:i/>
          <w:color w:val="000000"/>
          <w:sz w:val="28"/>
          <w:szCs w:val="28"/>
        </w:rPr>
        <w:t xml:space="preserve">The </w:t>
      </w:r>
      <w:proofErr w:type="spellStart"/>
      <w:r w:rsidRPr="007B478A">
        <w:rPr>
          <w:b w:val="0"/>
          <w:i/>
          <w:color w:val="000000"/>
          <w:sz w:val="28"/>
          <w:szCs w:val="28"/>
        </w:rPr>
        <w:t>Lawyer</w:t>
      </w:r>
      <w:proofErr w:type="spellEnd"/>
      <w:r w:rsidRPr="007B478A">
        <w:rPr>
          <w:b w:val="0"/>
          <w:i/>
          <w:color w:val="000000"/>
          <w:sz w:val="28"/>
          <w:szCs w:val="28"/>
        </w:rPr>
        <w:t xml:space="preserve"> </w:t>
      </w:r>
      <w:proofErr w:type="spellStart"/>
      <w:r w:rsidRPr="007B478A">
        <w:rPr>
          <w:b w:val="0"/>
          <w:i/>
          <w:color w:val="000000"/>
          <w:sz w:val="28"/>
          <w:szCs w:val="28"/>
        </w:rPr>
        <w:t>Quarterly.International</w:t>
      </w:r>
      <w:proofErr w:type="spellEnd"/>
      <w:r w:rsidRPr="007B478A">
        <w:rPr>
          <w:b w:val="0"/>
          <w:i/>
          <w:color w:val="000000"/>
          <w:sz w:val="28"/>
          <w:szCs w:val="28"/>
        </w:rPr>
        <w:t xml:space="preserve"> Journal for</w:t>
      </w:r>
      <w:r w:rsidRPr="007B478A">
        <w:rPr>
          <w:b w:val="0"/>
          <w:i/>
          <w:color w:val="000000"/>
          <w:sz w:val="28"/>
          <w:szCs w:val="28"/>
          <w:shd w:val="clear" w:color="auto" w:fill="F7FCD3"/>
        </w:rPr>
        <w:t xml:space="preserve"> </w:t>
      </w:r>
      <w:r w:rsidRPr="007B478A">
        <w:rPr>
          <w:b w:val="0"/>
          <w:i/>
          <w:color w:val="000000"/>
          <w:sz w:val="28"/>
          <w:szCs w:val="28"/>
        </w:rPr>
        <w:t xml:space="preserve">Legal </w:t>
      </w:r>
      <w:proofErr w:type="spellStart"/>
      <w:r w:rsidRPr="007B478A">
        <w:rPr>
          <w:b w:val="0"/>
          <w:i/>
          <w:color w:val="000000"/>
          <w:sz w:val="28"/>
          <w:szCs w:val="28"/>
        </w:rPr>
        <w:t>Research</w:t>
      </w:r>
      <w:proofErr w:type="spellEnd"/>
      <w:r w:rsidRPr="00F37243">
        <w:rPr>
          <w:b w:val="0"/>
          <w:color w:val="000000"/>
          <w:sz w:val="28"/>
          <w:szCs w:val="28"/>
        </w:rPr>
        <w:t xml:space="preserve">, </w:t>
      </w:r>
      <w:r>
        <w:rPr>
          <w:b w:val="0"/>
          <w:color w:val="000000"/>
          <w:sz w:val="28"/>
          <w:szCs w:val="28"/>
        </w:rPr>
        <w:t xml:space="preserve">di </w:t>
      </w:r>
      <w:r w:rsidRPr="007B478A">
        <w:rPr>
          <w:b w:val="0"/>
          <w:i/>
          <w:color w:val="000000"/>
          <w:sz w:val="28"/>
          <w:szCs w:val="28"/>
        </w:rPr>
        <w:t xml:space="preserve">Roma </w:t>
      </w:r>
      <w:proofErr w:type="spellStart"/>
      <w:r w:rsidRPr="007B478A">
        <w:rPr>
          <w:b w:val="0"/>
          <w:i/>
          <w:color w:val="000000"/>
          <w:sz w:val="28"/>
          <w:szCs w:val="28"/>
        </w:rPr>
        <w:t>America.Rivista</w:t>
      </w:r>
      <w:proofErr w:type="spellEnd"/>
      <w:r w:rsidRPr="007B478A">
        <w:rPr>
          <w:b w:val="0"/>
          <w:i/>
          <w:color w:val="000000"/>
          <w:sz w:val="28"/>
          <w:szCs w:val="28"/>
        </w:rPr>
        <w:t xml:space="preserve"> di Diritto dell’integrazione e unificazione del diritto in Eurasia e in America latina</w:t>
      </w:r>
      <w:r>
        <w:rPr>
          <w:b w:val="0"/>
          <w:color w:val="000000"/>
          <w:sz w:val="28"/>
          <w:szCs w:val="28"/>
        </w:rPr>
        <w:t xml:space="preserve">, di </w:t>
      </w:r>
      <w:r w:rsidRPr="007B478A">
        <w:rPr>
          <w:b w:val="0"/>
          <w:i/>
          <w:color w:val="000000"/>
          <w:sz w:val="28"/>
          <w:szCs w:val="28"/>
        </w:rPr>
        <w:t xml:space="preserve">Specula </w:t>
      </w:r>
      <w:proofErr w:type="spellStart"/>
      <w:r w:rsidRPr="007B478A">
        <w:rPr>
          <w:b w:val="0"/>
          <w:i/>
          <w:color w:val="000000"/>
          <w:sz w:val="28"/>
          <w:szCs w:val="28"/>
        </w:rPr>
        <w:t>iuris</w:t>
      </w:r>
      <w:proofErr w:type="spellEnd"/>
      <w:r>
        <w:rPr>
          <w:b w:val="0"/>
          <w:color w:val="000000"/>
          <w:sz w:val="28"/>
          <w:szCs w:val="28"/>
        </w:rPr>
        <w:t xml:space="preserve">, di </w:t>
      </w:r>
      <w:r w:rsidRPr="0093217D">
        <w:rPr>
          <w:b w:val="0"/>
          <w:i/>
          <w:color w:val="000000"/>
          <w:sz w:val="28"/>
          <w:szCs w:val="28"/>
        </w:rPr>
        <w:t xml:space="preserve">Trento Law </w:t>
      </w:r>
      <w:proofErr w:type="spellStart"/>
      <w:r w:rsidRPr="0093217D">
        <w:rPr>
          <w:b w:val="0"/>
          <w:i/>
          <w:color w:val="000000"/>
          <w:sz w:val="28"/>
          <w:szCs w:val="28"/>
        </w:rPr>
        <w:t>Review</w:t>
      </w:r>
      <w:proofErr w:type="spellEnd"/>
      <w:r>
        <w:rPr>
          <w:b w:val="0"/>
          <w:color w:val="000000"/>
          <w:sz w:val="28"/>
          <w:szCs w:val="28"/>
        </w:rPr>
        <w:t>.</w:t>
      </w:r>
    </w:p>
    <w:p w:rsidR="00087E17" w:rsidRDefault="00087E17" w:rsidP="00087E17">
      <w:pPr>
        <w:pStyle w:val="Titolo1"/>
        <w:spacing w:before="0" w:beforeAutospacing="0" w:after="120" w:afterAutospacing="0"/>
        <w:jc w:val="both"/>
        <w:textAlignment w:val="baseline"/>
        <w:rPr>
          <w:b w:val="0"/>
          <w:color w:val="000000"/>
          <w:sz w:val="28"/>
          <w:szCs w:val="28"/>
        </w:rPr>
      </w:pPr>
      <w:proofErr w:type="gramStart"/>
      <w:r w:rsidRPr="00722BC4">
        <w:rPr>
          <w:b w:val="0"/>
          <w:color w:val="000000"/>
          <w:sz w:val="28"/>
          <w:szCs w:val="28"/>
        </w:rPr>
        <w:t>E’</w:t>
      </w:r>
      <w:proofErr w:type="gramEnd"/>
      <w:r w:rsidRPr="00722BC4">
        <w:rPr>
          <w:b w:val="0"/>
          <w:color w:val="000000"/>
          <w:sz w:val="28"/>
          <w:szCs w:val="28"/>
        </w:rPr>
        <w:t xml:space="preserve"> </w:t>
      </w:r>
      <w:proofErr w:type="spellStart"/>
      <w:r w:rsidRPr="00722BC4">
        <w:rPr>
          <w:b w:val="0"/>
          <w:color w:val="000000"/>
          <w:sz w:val="28"/>
          <w:szCs w:val="28"/>
        </w:rPr>
        <w:t>referee</w:t>
      </w:r>
      <w:proofErr w:type="spellEnd"/>
      <w:r w:rsidRPr="00722BC4">
        <w:rPr>
          <w:b w:val="0"/>
          <w:color w:val="000000"/>
          <w:sz w:val="28"/>
          <w:szCs w:val="28"/>
        </w:rPr>
        <w:t xml:space="preserve"> di riviste romanistiche</w:t>
      </w:r>
      <w:r>
        <w:rPr>
          <w:b w:val="0"/>
          <w:color w:val="000000"/>
          <w:sz w:val="28"/>
          <w:szCs w:val="28"/>
        </w:rPr>
        <w:t xml:space="preserve"> e canonistiche</w:t>
      </w:r>
      <w:r w:rsidRPr="00722BC4">
        <w:rPr>
          <w:b w:val="0"/>
          <w:color w:val="000000"/>
          <w:sz w:val="28"/>
          <w:szCs w:val="28"/>
        </w:rPr>
        <w:t>.</w:t>
      </w:r>
    </w:p>
    <w:p w:rsidR="00087E17" w:rsidRPr="00722BC4" w:rsidRDefault="00087E17" w:rsidP="00087E17">
      <w:pPr>
        <w:pStyle w:val="Titolo1"/>
        <w:spacing w:before="0" w:beforeAutospacing="0" w:after="120" w:afterAutospacing="0"/>
        <w:jc w:val="both"/>
        <w:textAlignment w:val="baseline"/>
        <w:rPr>
          <w:b w:val="0"/>
          <w:color w:val="000000"/>
          <w:sz w:val="28"/>
          <w:szCs w:val="28"/>
          <w:shd w:val="clear" w:color="auto" w:fill="F7FCD3"/>
        </w:rPr>
      </w:pPr>
    </w:p>
    <w:p w:rsidR="00087E17" w:rsidRDefault="00087E17" w:rsidP="00087E17">
      <w:pPr>
        <w:pStyle w:val="Titolo1"/>
        <w:spacing w:before="0" w:beforeAutospacing="0" w:after="120" w:afterAutospacing="0"/>
        <w:jc w:val="both"/>
        <w:textAlignment w:val="baseline"/>
        <w:rPr>
          <w:b w:val="0"/>
          <w:color w:val="000000"/>
          <w:sz w:val="28"/>
          <w:szCs w:val="28"/>
        </w:rPr>
      </w:pPr>
      <w:proofErr w:type="gramStart"/>
      <w:r w:rsidRPr="00722BC4">
        <w:rPr>
          <w:b w:val="0"/>
          <w:color w:val="000000"/>
          <w:sz w:val="28"/>
          <w:szCs w:val="28"/>
        </w:rPr>
        <w:t>E'</w:t>
      </w:r>
      <w:proofErr w:type="gramEnd"/>
      <w:r w:rsidRPr="00722BC4">
        <w:rPr>
          <w:b w:val="0"/>
          <w:color w:val="000000"/>
          <w:sz w:val="28"/>
          <w:szCs w:val="28"/>
        </w:rPr>
        <w:t xml:space="preserve"> stato coordinatore locale di progetti nazionali di ricerca finanziati</w:t>
      </w:r>
      <w:r>
        <w:rPr>
          <w:b w:val="0"/>
          <w:color w:val="000000"/>
          <w:sz w:val="28"/>
          <w:szCs w:val="28"/>
        </w:rPr>
        <w:t xml:space="preserve">: </w:t>
      </w:r>
    </w:p>
    <w:p w:rsidR="00087E17" w:rsidRPr="00F37243" w:rsidRDefault="00087E17" w:rsidP="00087E17">
      <w:pPr>
        <w:pStyle w:val="Titolo1"/>
        <w:numPr>
          <w:ilvl w:val="0"/>
          <w:numId w:val="1"/>
        </w:numPr>
        <w:spacing w:before="0" w:beforeAutospacing="0" w:after="120" w:afterAutospacing="0"/>
        <w:jc w:val="both"/>
        <w:textAlignment w:val="baseline"/>
        <w:rPr>
          <w:b w:val="0"/>
          <w:color w:val="000000"/>
          <w:sz w:val="28"/>
          <w:szCs w:val="28"/>
          <w:shd w:val="clear" w:color="auto" w:fill="F7FCD3"/>
        </w:rPr>
      </w:pPr>
      <w:r w:rsidRPr="00722BC4">
        <w:rPr>
          <w:b w:val="0"/>
          <w:color w:val="000000"/>
          <w:sz w:val="28"/>
          <w:szCs w:val="28"/>
        </w:rPr>
        <w:t>PRIN 2010-2011</w:t>
      </w:r>
      <w:r>
        <w:rPr>
          <w:b w:val="0"/>
          <w:color w:val="000000"/>
          <w:sz w:val="28"/>
          <w:szCs w:val="28"/>
        </w:rPr>
        <w:t xml:space="preserve">: </w:t>
      </w:r>
      <w:r w:rsidRPr="00722BC4">
        <w:rPr>
          <w:b w:val="0"/>
          <w:i/>
          <w:color w:val="000000"/>
          <w:sz w:val="28"/>
          <w:szCs w:val="28"/>
        </w:rPr>
        <w:t>L'autorità delle parole. Le forme del discorso precettivo romano tra conservazione e mutamento</w:t>
      </w:r>
      <w:r w:rsidRPr="00722BC4">
        <w:rPr>
          <w:b w:val="0"/>
          <w:color w:val="000000"/>
          <w:sz w:val="28"/>
          <w:szCs w:val="28"/>
        </w:rPr>
        <w:t xml:space="preserve">; </w:t>
      </w:r>
    </w:p>
    <w:p w:rsidR="00087E17" w:rsidRPr="00F37243" w:rsidRDefault="00087E17" w:rsidP="00087E17">
      <w:pPr>
        <w:pStyle w:val="Titolo1"/>
        <w:numPr>
          <w:ilvl w:val="0"/>
          <w:numId w:val="1"/>
        </w:numPr>
        <w:spacing w:before="0" w:beforeAutospacing="0" w:after="120" w:afterAutospacing="0"/>
        <w:jc w:val="both"/>
        <w:textAlignment w:val="baseline"/>
        <w:rPr>
          <w:b w:val="0"/>
          <w:color w:val="000000"/>
          <w:sz w:val="28"/>
          <w:szCs w:val="28"/>
          <w:shd w:val="clear" w:color="auto" w:fill="F7FCD3"/>
        </w:rPr>
      </w:pPr>
      <w:r w:rsidRPr="00722BC4">
        <w:rPr>
          <w:b w:val="0"/>
          <w:color w:val="000000"/>
          <w:sz w:val="28"/>
          <w:szCs w:val="28"/>
        </w:rPr>
        <w:t>PRIN 2007</w:t>
      </w:r>
      <w:r w:rsidRPr="00722BC4">
        <w:rPr>
          <w:b w:val="0"/>
          <w:i/>
          <w:color w:val="000000"/>
          <w:sz w:val="28"/>
          <w:szCs w:val="28"/>
        </w:rPr>
        <w:t>: Responsabilità aquiliana: la tradizione</w:t>
      </w:r>
      <w:r w:rsidRPr="00722BC4">
        <w:rPr>
          <w:b w:val="0"/>
          <w:i/>
          <w:color w:val="000000"/>
          <w:sz w:val="28"/>
          <w:szCs w:val="28"/>
          <w:shd w:val="clear" w:color="auto" w:fill="F7FCD3"/>
        </w:rPr>
        <w:t xml:space="preserve"> </w:t>
      </w:r>
      <w:r w:rsidRPr="00722BC4">
        <w:rPr>
          <w:b w:val="0"/>
          <w:i/>
          <w:color w:val="000000"/>
          <w:sz w:val="28"/>
          <w:szCs w:val="28"/>
        </w:rPr>
        <w:t>romanistica nell'elaborazione dei giuristi bizantini</w:t>
      </w:r>
      <w:r w:rsidRPr="00722BC4">
        <w:rPr>
          <w:b w:val="0"/>
          <w:color w:val="000000"/>
          <w:sz w:val="28"/>
          <w:szCs w:val="28"/>
        </w:rPr>
        <w:t xml:space="preserve">; </w:t>
      </w:r>
    </w:p>
    <w:p w:rsidR="00087E17" w:rsidRPr="00F37243" w:rsidRDefault="00087E17" w:rsidP="00087E17">
      <w:pPr>
        <w:pStyle w:val="Titolo1"/>
        <w:numPr>
          <w:ilvl w:val="0"/>
          <w:numId w:val="1"/>
        </w:numPr>
        <w:spacing w:before="0" w:beforeAutospacing="0" w:after="120" w:afterAutospacing="0"/>
        <w:jc w:val="both"/>
        <w:textAlignment w:val="baseline"/>
        <w:rPr>
          <w:b w:val="0"/>
          <w:color w:val="000000"/>
          <w:sz w:val="28"/>
          <w:szCs w:val="28"/>
          <w:shd w:val="clear" w:color="auto" w:fill="F7FCD3"/>
        </w:rPr>
      </w:pPr>
      <w:r w:rsidRPr="00722BC4">
        <w:rPr>
          <w:b w:val="0"/>
          <w:color w:val="000000"/>
          <w:sz w:val="28"/>
          <w:szCs w:val="28"/>
        </w:rPr>
        <w:t xml:space="preserve">PRIN 2005: </w:t>
      </w:r>
      <w:r w:rsidRPr="00722BC4">
        <w:rPr>
          <w:b w:val="0"/>
          <w:i/>
          <w:color w:val="000000"/>
          <w:sz w:val="28"/>
          <w:szCs w:val="28"/>
        </w:rPr>
        <w:t xml:space="preserve">La </w:t>
      </w:r>
      <w:proofErr w:type="spellStart"/>
      <w:r w:rsidRPr="00722BC4">
        <w:rPr>
          <w:b w:val="0"/>
          <w:i/>
          <w:color w:val="000000"/>
          <w:sz w:val="28"/>
          <w:szCs w:val="28"/>
        </w:rPr>
        <w:t>fides</w:t>
      </w:r>
      <w:proofErr w:type="spellEnd"/>
      <w:r w:rsidRPr="00722BC4">
        <w:rPr>
          <w:b w:val="0"/>
          <w:i/>
          <w:color w:val="000000"/>
          <w:sz w:val="28"/>
          <w:szCs w:val="28"/>
        </w:rPr>
        <w:t xml:space="preserve"> come fondamento dei rapporti sociali: tra relazioni negoziali e potestative</w:t>
      </w:r>
      <w:r w:rsidRPr="00722BC4">
        <w:rPr>
          <w:b w:val="0"/>
          <w:color w:val="000000"/>
          <w:sz w:val="28"/>
          <w:szCs w:val="28"/>
        </w:rPr>
        <w:t xml:space="preserve">; </w:t>
      </w:r>
    </w:p>
    <w:p w:rsidR="00087E17" w:rsidRPr="00F37243" w:rsidRDefault="00087E17" w:rsidP="00087E17">
      <w:pPr>
        <w:pStyle w:val="Titolo1"/>
        <w:numPr>
          <w:ilvl w:val="0"/>
          <w:numId w:val="1"/>
        </w:numPr>
        <w:spacing w:before="0" w:beforeAutospacing="0" w:after="120" w:afterAutospacing="0"/>
        <w:jc w:val="both"/>
        <w:textAlignment w:val="baseline"/>
        <w:rPr>
          <w:b w:val="0"/>
          <w:color w:val="000000"/>
          <w:sz w:val="28"/>
          <w:szCs w:val="28"/>
          <w:shd w:val="clear" w:color="auto" w:fill="F7FCD3"/>
        </w:rPr>
      </w:pPr>
      <w:r w:rsidRPr="00722BC4">
        <w:rPr>
          <w:b w:val="0"/>
          <w:color w:val="000000"/>
          <w:sz w:val="28"/>
          <w:szCs w:val="28"/>
        </w:rPr>
        <w:t xml:space="preserve">PRIN 2003: </w:t>
      </w:r>
      <w:r w:rsidRPr="00722BC4">
        <w:rPr>
          <w:b w:val="0"/>
          <w:i/>
          <w:color w:val="000000"/>
          <w:sz w:val="28"/>
          <w:szCs w:val="28"/>
        </w:rPr>
        <w:t>Modelli teorici e metodologici nella storia del diritto romano, intermedio e attuale: diritto dei contratti, responsabilità e interpretazione</w:t>
      </w:r>
      <w:r w:rsidRPr="00722BC4">
        <w:rPr>
          <w:b w:val="0"/>
          <w:color w:val="000000"/>
          <w:sz w:val="28"/>
          <w:szCs w:val="28"/>
        </w:rPr>
        <w:t>).</w:t>
      </w:r>
    </w:p>
    <w:p w:rsidR="00087E17" w:rsidRPr="00722BC4" w:rsidRDefault="00087E17" w:rsidP="00087E17">
      <w:pPr>
        <w:pStyle w:val="Titolo1"/>
        <w:spacing w:before="0" w:beforeAutospacing="0" w:after="120" w:afterAutospacing="0"/>
        <w:ind w:left="720"/>
        <w:jc w:val="both"/>
        <w:textAlignment w:val="baseline"/>
        <w:rPr>
          <w:b w:val="0"/>
          <w:color w:val="000000"/>
          <w:sz w:val="28"/>
          <w:szCs w:val="28"/>
          <w:shd w:val="clear" w:color="auto" w:fill="F7FCD3"/>
        </w:rPr>
      </w:pPr>
    </w:p>
    <w:p w:rsidR="00087E17" w:rsidRDefault="00087E17" w:rsidP="00087E17">
      <w:pPr>
        <w:pStyle w:val="Titolo1"/>
        <w:spacing w:before="0" w:beforeAutospacing="0" w:after="120" w:afterAutospacing="0"/>
        <w:jc w:val="both"/>
        <w:textAlignment w:val="baseline"/>
        <w:rPr>
          <w:b w:val="0"/>
          <w:color w:val="000000"/>
          <w:sz w:val="28"/>
          <w:szCs w:val="28"/>
        </w:rPr>
      </w:pPr>
      <w:r w:rsidRPr="00722BC4">
        <w:rPr>
          <w:b w:val="0"/>
          <w:color w:val="000000"/>
          <w:sz w:val="28"/>
          <w:szCs w:val="28"/>
        </w:rPr>
        <w:t>La produzione scientifica consta compless</w:t>
      </w:r>
      <w:r>
        <w:rPr>
          <w:b w:val="0"/>
          <w:color w:val="000000"/>
          <w:sz w:val="28"/>
          <w:szCs w:val="28"/>
        </w:rPr>
        <w:t xml:space="preserve">ivamente di 5 monografie, 17 curatele e </w:t>
      </w:r>
      <w:proofErr w:type="gramStart"/>
      <w:r w:rsidR="000C0DD2">
        <w:rPr>
          <w:b w:val="0"/>
          <w:color w:val="000000"/>
          <w:sz w:val="28"/>
          <w:szCs w:val="28"/>
        </w:rPr>
        <w:t>di  circa</w:t>
      </w:r>
      <w:proofErr w:type="gramEnd"/>
      <w:r w:rsidR="000C0DD2">
        <w:rPr>
          <w:b w:val="0"/>
          <w:color w:val="000000"/>
          <w:sz w:val="28"/>
          <w:szCs w:val="28"/>
        </w:rPr>
        <w:t xml:space="preserve"> 90</w:t>
      </w:r>
      <w:bookmarkStart w:id="0" w:name="_GoBack"/>
      <w:bookmarkEnd w:id="0"/>
      <w:r>
        <w:rPr>
          <w:b w:val="0"/>
          <w:color w:val="000000"/>
          <w:sz w:val="28"/>
          <w:szCs w:val="28"/>
        </w:rPr>
        <w:t xml:space="preserve"> </w:t>
      </w:r>
      <w:r w:rsidRPr="00722BC4">
        <w:rPr>
          <w:b w:val="0"/>
          <w:color w:val="000000"/>
          <w:sz w:val="28"/>
          <w:szCs w:val="28"/>
        </w:rPr>
        <w:t>contributi (saggi su riviste, parti di libro, rela</w:t>
      </w:r>
      <w:r>
        <w:rPr>
          <w:b w:val="0"/>
          <w:color w:val="000000"/>
          <w:sz w:val="28"/>
          <w:szCs w:val="28"/>
        </w:rPr>
        <w:t>zioni in atti di convegno)</w:t>
      </w:r>
      <w:r w:rsidRPr="00722BC4">
        <w:rPr>
          <w:b w:val="0"/>
          <w:color w:val="000000"/>
          <w:sz w:val="28"/>
          <w:szCs w:val="28"/>
        </w:rPr>
        <w:t>.</w:t>
      </w:r>
      <w:r>
        <w:rPr>
          <w:b w:val="0"/>
          <w:color w:val="000000"/>
          <w:sz w:val="28"/>
          <w:szCs w:val="28"/>
        </w:rPr>
        <w:t xml:space="preserve"> </w:t>
      </w:r>
      <w:r w:rsidRPr="00722BC4">
        <w:rPr>
          <w:b w:val="0"/>
          <w:color w:val="000000"/>
          <w:sz w:val="28"/>
          <w:szCs w:val="28"/>
        </w:rPr>
        <w:t>Oltre a vari studi pertinenti al diritto civile attuale e alla tradizione civilistica, alla comparazione giuridica, la principale area di ricerca è costituita dal diritto romano con produzione di saggi, monografie e curatele principalmente in tema</w:t>
      </w:r>
      <w:r w:rsidRPr="00722BC4">
        <w:rPr>
          <w:b w:val="0"/>
          <w:color w:val="000000"/>
          <w:sz w:val="28"/>
          <w:szCs w:val="28"/>
          <w:shd w:val="clear" w:color="auto" w:fill="F7FCD3"/>
        </w:rPr>
        <w:t xml:space="preserve"> </w:t>
      </w:r>
      <w:r w:rsidRPr="00722BC4">
        <w:rPr>
          <w:b w:val="0"/>
          <w:color w:val="000000"/>
          <w:sz w:val="28"/>
          <w:szCs w:val="28"/>
        </w:rPr>
        <w:t xml:space="preserve">di a) </w:t>
      </w:r>
      <w:r>
        <w:rPr>
          <w:b w:val="0"/>
          <w:color w:val="000000"/>
          <w:sz w:val="28"/>
          <w:szCs w:val="28"/>
        </w:rPr>
        <w:t xml:space="preserve">legislazione comiziale, </w:t>
      </w:r>
      <w:r w:rsidRPr="00722BC4">
        <w:rPr>
          <w:b w:val="0"/>
          <w:color w:val="000000"/>
          <w:sz w:val="28"/>
          <w:szCs w:val="28"/>
        </w:rPr>
        <w:t xml:space="preserve">legislazione imperiale </w:t>
      </w:r>
      <w:r>
        <w:rPr>
          <w:b w:val="0"/>
          <w:color w:val="000000"/>
          <w:sz w:val="28"/>
          <w:szCs w:val="28"/>
        </w:rPr>
        <w:t xml:space="preserve">e </w:t>
      </w:r>
      <w:r w:rsidRPr="00722BC4">
        <w:rPr>
          <w:b w:val="0"/>
          <w:color w:val="000000"/>
          <w:sz w:val="28"/>
          <w:szCs w:val="28"/>
        </w:rPr>
        <w:t>postclassica b) il contratto di società c) criteri di</w:t>
      </w:r>
      <w:r w:rsidRPr="00722BC4">
        <w:rPr>
          <w:b w:val="0"/>
          <w:color w:val="000000"/>
          <w:sz w:val="28"/>
          <w:szCs w:val="28"/>
          <w:shd w:val="clear" w:color="auto" w:fill="F7FCD3"/>
        </w:rPr>
        <w:t xml:space="preserve"> </w:t>
      </w:r>
      <w:r w:rsidRPr="00722BC4">
        <w:rPr>
          <w:b w:val="0"/>
          <w:color w:val="000000"/>
          <w:sz w:val="28"/>
          <w:szCs w:val="28"/>
        </w:rPr>
        <w:t>responsabilità nel diritto romano e nella prospettiva storico-comparatistica d)</w:t>
      </w:r>
      <w:r w:rsidRPr="00722BC4">
        <w:rPr>
          <w:b w:val="0"/>
          <w:color w:val="000000"/>
          <w:sz w:val="28"/>
          <w:szCs w:val="28"/>
          <w:shd w:val="clear" w:color="auto" w:fill="F7FCD3"/>
        </w:rPr>
        <w:t xml:space="preserve"> </w:t>
      </w:r>
      <w:proofErr w:type="spellStart"/>
      <w:r w:rsidRPr="00722BC4">
        <w:rPr>
          <w:b w:val="0"/>
          <w:i/>
          <w:color w:val="000000"/>
          <w:sz w:val="28"/>
          <w:szCs w:val="28"/>
        </w:rPr>
        <w:t>operis</w:t>
      </w:r>
      <w:proofErr w:type="spellEnd"/>
      <w:r w:rsidRPr="00722BC4">
        <w:rPr>
          <w:b w:val="0"/>
          <w:i/>
          <w:color w:val="000000"/>
          <w:sz w:val="28"/>
          <w:szCs w:val="28"/>
        </w:rPr>
        <w:t xml:space="preserve"> novi </w:t>
      </w:r>
      <w:proofErr w:type="spellStart"/>
      <w:r w:rsidRPr="00722BC4">
        <w:rPr>
          <w:b w:val="0"/>
          <w:i/>
          <w:color w:val="000000"/>
          <w:sz w:val="28"/>
          <w:szCs w:val="28"/>
        </w:rPr>
        <w:t>nuntiatio</w:t>
      </w:r>
      <w:proofErr w:type="spellEnd"/>
      <w:r w:rsidRPr="00722BC4">
        <w:rPr>
          <w:b w:val="0"/>
          <w:color w:val="000000"/>
          <w:sz w:val="28"/>
          <w:szCs w:val="28"/>
        </w:rPr>
        <w:t xml:space="preserve"> nel diritto privato e pubblico romano e) tradizione</w:t>
      </w:r>
      <w:r w:rsidRPr="00722BC4">
        <w:rPr>
          <w:b w:val="0"/>
          <w:color w:val="000000"/>
          <w:sz w:val="28"/>
          <w:szCs w:val="28"/>
          <w:shd w:val="clear" w:color="auto" w:fill="F7FCD3"/>
        </w:rPr>
        <w:t xml:space="preserve"> </w:t>
      </w:r>
      <w:r w:rsidRPr="00722BC4">
        <w:rPr>
          <w:b w:val="0"/>
          <w:color w:val="000000"/>
          <w:sz w:val="28"/>
          <w:szCs w:val="28"/>
        </w:rPr>
        <w:t>romanistica in Europa f) diritto di usufru</w:t>
      </w:r>
      <w:r>
        <w:rPr>
          <w:b w:val="0"/>
          <w:color w:val="000000"/>
          <w:sz w:val="28"/>
          <w:szCs w:val="28"/>
        </w:rPr>
        <w:t xml:space="preserve">tto g) storiografia romanistica h) metodo nell’indagine </w:t>
      </w:r>
      <w:proofErr w:type="spellStart"/>
      <w:r>
        <w:rPr>
          <w:b w:val="0"/>
          <w:color w:val="000000"/>
          <w:sz w:val="28"/>
          <w:szCs w:val="28"/>
        </w:rPr>
        <w:t>giusromanistica</w:t>
      </w:r>
      <w:proofErr w:type="spellEnd"/>
      <w:r>
        <w:rPr>
          <w:b w:val="0"/>
          <w:color w:val="000000"/>
          <w:sz w:val="28"/>
          <w:szCs w:val="28"/>
        </w:rPr>
        <w:t xml:space="preserve"> e metodo storico-comparativo i) giurisprudenza romana.</w:t>
      </w:r>
    </w:p>
    <w:p w:rsidR="00087E17" w:rsidRDefault="00087E17" w:rsidP="00087E17">
      <w:pPr>
        <w:pStyle w:val="Titolo1"/>
        <w:spacing w:before="0" w:beforeAutospacing="0" w:after="120" w:afterAutospacing="0"/>
        <w:jc w:val="both"/>
        <w:textAlignment w:val="baseline"/>
        <w:rPr>
          <w:b w:val="0"/>
          <w:color w:val="000000"/>
          <w:sz w:val="28"/>
          <w:szCs w:val="28"/>
          <w:shd w:val="clear" w:color="auto" w:fill="F7FCD3"/>
        </w:rPr>
      </w:pPr>
    </w:p>
    <w:p w:rsidR="00487108" w:rsidRDefault="000C0DD2"/>
    <w:sectPr w:rsidR="004871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85953"/>
    <w:multiLevelType w:val="hybridMultilevel"/>
    <w:tmpl w:val="F9FA96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75703"/>
    <w:multiLevelType w:val="hybridMultilevel"/>
    <w:tmpl w:val="BF7EFD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17"/>
    <w:rsid w:val="00087E17"/>
    <w:rsid w:val="000C0DD2"/>
    <w:rsid w:val="00AB146E"/>
    <w:rsid w:val="00CC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50E0"/>
  <w15:chartTrackingRefBased/>
  <w15:docId w15:val="{8AB1C7D1-D7E2-43ED-B560-EB5850A9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87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7E1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2022-03-14T16:38:00Z</dcterms:created>
  <dcterms:modified xsi:type="dcterms:W3CDTF">2022-07-16T15:21:00Z</dcterms:modified>
</cp:coreProperties>
</file>